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8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47800" cy="1447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47800" cy="1447800"/>
                    </a:xfrm>
                    <a:prstGeom prst="rect"/>
                    <a:ln/>
                  </pic:spPr>
                </pic:pic>
              </a:graphicData>
            </a:graphic>
          </wp:inline>
        </w:drawing>
      </w:r>
      <w:r w:rsidDel="00000000" w:rsidR="00000000" w:rsidRPr="00000000">
        <w:rPr>
          <w:rtl w:val="0"/>
        </w:rPr>
      </w:r>
    </w:p>
    <w:tbl>
      <w:tblPr>
        <w:tblStyle w:val="Table1"/>
        <w:tblW w:w="9360.0" w:type="dxa"/>
        <w:jc w:val="left"/>
        <w:tblInd w:w="0.0" w:type="pct"/>
        <w:tblLayout w:type="fixed"/>
        <w:tblLook w:val="0400"/>
      </w:tblPr>
      <w:tblGrid>
        <w:gridCol w:w="5243"/>
        <w:gridCol w:w="4117"/>
        <w:tblGridChange w:id="0">
          <w:tblGrid>
            <w:gridCol w:w="5243"/>
            <w:gridCol w:w="4117"/>
          </w:tblGrid>
        </w:tblGridChange>
      </w:tblGrid>
      <w:tr>
        <w:tc>
          <w:tcPr>
            <w:tcMar>
              <w:left w:w="0.0" w:type="dxa"/>
              <w:right w:w="0.0" w:type="dxa"/>
            </w:tcMar>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5243.0" w:type="dxa"/>
              <w:jc w:val="left"/>
              <w:tblBorders>
                <w:insideV w:color="ffffff" w:space="0" w:sz="18" w:val="single"/>
              </w:tblBorders>
              <w:tblLayout w:type="fixed"/>
              <w:tblLook w:val="0400"/>
            </w:tblPr>
            <w:tblGrid>
              <w:gridCol w:w="1064"/>
              <w:gridCol w:w="4179"/>
              <w:tblGridChange w:id="0">
                <w:tblGrid>
                  <w:gridCol w:w="1064"/>
                  <w:gridCol w:w="4179"/>
                </w:tblGrid>
              </w:tblGridChange>
            </w:tblGrid>
            <w:tr>
              <w:tc>
                <w:tcPr/>
                <w:p w:rsidR="00000000" w:rsidDel="00000000" w:rsidP="00000000" w:rsidRDefault="00000000" w:rsidRPr="00000000" w14:paraId="00000002">
                  <w:pPr>
                    <w:pStyle w:val="Heading2"/>
                    <w:rPr/>
                  </w:pPr>
                  <w:r w:rsidDel="00000000" w:rsidR="00000000" w:rsidRPr="00000000">
                    <w:rPr>
                      <w:rtl w:val="0"/>
                    </w:rPr>
                    <w:t xml:space="preserve">Contact</w:t>
                  </w:r>
                </w:p>
              </w:tc>
              <w:tc>
                <w:tcPr/>
                <w:p w:rsidR="00000000" w:rsidDel="00000000" w:rsidP="00000000" w:rsidRDefault="00000000" w:rsidRPr="00000000" w14:paraId="00000003">
                  <w:pPr>
                    <w:spacing w:after="0" w:line="240" w:lineRule="auto"/>
                    <w:rPr/>
                  </w:pPr>
                  <w:r w:rsidDel="00000000" w:rsidR="00000000" w:rsidRPr="00000000">
                    <w:rPr>
                      <w:rtl w:val="0"/>
                    </w:rPr>
                    <w:t xml:space="preserve">Kevin Wieser – Membership Director</w:t>
                  </w:r>
                </w:p>
              </w:tc>
            </w:tr>
            <w:tr>
              <w:tc>
                <w:tcPr/>
                <w:p w:rsidR="00000000" w:rsidDel="00000000" w:rsidP="00000000" w:rsidRDefault="00000000" w:rsidRPr="00000000" w14:paraId="00000004">
                  <w:pPr>
                    <w:pStyle w:val="Heading2"/>
                    <w:rPr/>
                  </w:pPr>
                  <w:r w:rsidDel="00000000" w:rsidR="00000000" w:rsidRPr="00000000">
                    <w:rPr>
                      <w:rtl w:val="0"/>
                    </w:rPr>
                    <w:t xml:space="preserve">Telephone</w:t>
                  </w:r>
                </w:p>
              </w:tc>
              <w:tc>
                <w:tcPr/>
                <w:p w:rsidR="00000000" w:rsidDel="00000000" w:rsidP="00000000" w:rsidRDefault="00000000" w:rsidRPr="00000000" w14:paraId="00000005">
                  <w:pPr>
                    <w:spacing w:after="0" w:line="240" w:lineRule="auto"/>
                    <w:rPr/>
                  </w:pPr>
                  <w:r w:rsidDel="00000000" w:rsidR="00000000" w:rsidRPr="00000000">
                    <w:rPr>
                      <w:rtl w:val="0"/>
                    </w:rPr>
                    <w:t xml:space="preserve">(714) 409-8126</w:t>
                  </w:r>
                </w:p>
              </w:tc>
            </w:tr>
            <w:tr>
              <w:tc>
                <w:tcPr/>
                <w:p w:rsidR="00000000" w:rsidDel="00000000" w:rsidP="00000000" w:rsidRDefault="00000000" w:rsidRPr="00000000" w14:paraId="00000006">
                  <w:pPr>
                    <w:pStyle w:val="Heading2"/>
                    <w:rPr/>
                  </w:pPr>
                  <w:r w:rsidDel="00000000" w:rsidR="00000000" w:rsidRPr="00000000">
                    <w:rPr>
                      <w:rtl w:val="0"/>
                    </w:rPr>
                    <w:t xml:space="preserve">Email</w:t>
                  </w:r>
                </w:p>
              </w:tc>
              <w:tc>
                <w:tcPr/>
                <w:p w:rsidR="00000000" w:rsidDel="00000000" w:rsidP="00000000" w:rsidRDefault="00000000" w:rsidRPr="00000000" w14:paraId="00000007">
                  <w:pPr>
                    <w:spacing w:after="0" w:line="240" w:lineRule="auto"/>
                    <w:rPr/>
                  </w:pPr>
                  <w:r w:rsidDel="00000000" w:rsidR="00000000" w:rsidRPr="00000000">
                    <w:rPr>
                      <w:rtl w:val="0"/>
                    </w:rPr>
                    <w:t xml:space="preserve">Membership@AmericasTop100Attorneys.com</w:t>
                  </w:r>
                </w:p>
              </w:tc>
            </w:tr>
            <w:tr>
              <w:tc>
                <w:tcPr/>
                <w:p w:rsidR="00000000" w:rsidDel="00000000" w:rsidP="00000000" w:rsidRDefault="00000000" w:rsidRPr="00000000" w14:paraId="00000008">
                  <w:pPr>
                    <w:pStyle w:val="Heading2"/>
                    <w:rPr/>
                  </w:pPr>
                  <w:r w:rsidDel="00000000" w:rsidR="00000000" w:rsidRPr="00000000">
                    <w:rPr>
                      <w:rtl w:val="0"/>
                    </w:rPr>
                    <w:t xml:space="preserve">Website</w:t>
                  </w:r>
                </w:p>
              </w:tc>
              <w:tc>
                <w:tcPr/>
                <w:p w:rsidR="00000000" w:rsidDel="00000000" w:rsidP="00000000" w:rsidRDefault="00000000" w:rsidRPr="00000000" w14:paraId="00000009">
                  <w:pPr>
                    <w:spacing w:after="0" w:line="240" w:lineRule="auto"/>
                    <w:rPr/>
                  </w:pPr>
                  <w:r w:rsidDel="00000000" w:rsidR="00000000" w:rsidRPr="00000000">
                    <w:rPr>
                      <w:rtl w:val="0"/>
                    </w:rPr>
                    <w:t xml:space="preserve">www.Top100HighStakesLitigators.com</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left w:w="0.0" w:type="dxa"/>
              <w:right w:w="0.0" w:type="dxa"/>
            </w:tcMar>
          </w:tcPr>
          <w:p w:rsidR="00000000" w:rsidDel="00000000" w:rsidP="00000000" w:rsidRDefault="00000000" w:rsidRPr="00000000" w14:paraId="0000000B">
            <w:pPr>
              <w:pStyle w:val="Heading1"/>
              <w:rPr/>
            </w:pPr>
            <w:r w:rsidDel="00000000" w:rsidR="00000000" w:rsidRPr="00000000">
              <w:rPr>
                <w:rtl w:val="0"/>
              </w:rPr>
              <w:t xml:space="preserve">FOR IMMEDIATE RELEASE</w:t>
            </w:r>
          </w:p>
          <w:p w:rsidR="00000000" w:rsidDel="00000000" w:rsidP="00000000" w:rsidRDefault="00000000" w:rsidRPr="00000000" w14:paraId="0000000C">
            <w:pPr>
              <w:pStyle w:val="Heading1"/>
              <w:rPr/>
            </w:pPr>
            <w:r w:rsidDel="00000000" w:rsidR="00000000" w:rsidRPr="00000000">
              <w:rPr>
                <w:rtl w:val="0"/>
              </w:rPr>
            </w:r>
          </w:p>
        </w:tc>
      </w:tr>
    </w:tbl>
    <w:p w:rsidR="00000000" w:rsidDel="00000000" w:rsidP="00000000" w:rsidRDefault="00000000" w:rsidRPr="00000000" w14:paraId="0000000D">
      <w:pPr>
        <w:pStyle w:val="Title"/>
        <w:rPr>
          <w:b w:val="1"/>
        </w:rPr>
      </w:pPr>
      <w:r w:rsidDel="00000000" w:rsidR="00000000" w:rsidRPr="00000000">
        <w:rPr>
          <w:b w:val="1"/>
          <w:rtl w:val="0"/>
        </w:rPr>
        <w:t xml:space="preserve">AMERICA’S top 100 HIGH STAKES LITIGATORS®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October 23, 2018 – Announcing the selection of </w:t>
      </w:r>
      <w:r w:rsidDel="00000000" w:rsidR="00000000" w:rsidRPr="00000000">
        <w:rPr>
          <w:b w:val="1"/>
          <w:rtl w:val="0"/>
        </w:rPr>
        <w:t xml:space="preserve">J. RICE FERRELLE, JR.</w:t>
      </w:r>
      <w:r w:rsidDel="00000000" w:rsidR="00000000" w:rsidRPr="00000000">
        <w:rPr>
          <w:rtl w:val="0"/>
        </w:rPr>
        <w:t xml:space="preserve"> among America’s Top 100 High Stakes Litigators® for 2018.  Selection to America’s Top 100 High Stakes Litigators® is by invitation only and is reserved to identify the nation’s most exceptional trial attorneys in high value, high stakes legal matters.  </w:t>
      </w:r>
    </w:p>
    <w:p w:rsidR="00000000" w:rsidDel="00000000" w:rsidP="00000000" w:rsidRDefault="00000000" w:rsidRPr="00000000" w14:paraId="00000010">
      <w:pPr>
        <w:jc w:val="both"/>
        <w:rPr/>
      </w:pPr>
      <w:r w:rsidDel="00000000" w:rsidR="00000000" w:rsidRPr="00000000">
        <w:rPr>
          <w:rtl w:val="0"/>
        </w:rPr>
        <w:t xml:space="preserve">To be considered for selection, an attorney must have litigated (for either plaintiff or defendant) a matter (1) with at least $2,000,000 in alleged damages at stake or (2) with the fate of a business worth at least $2,000,000 at stake. These minimum qualifications are required for initial consideration.  Thereafter, candidates are carefully screened through comprehensive Qualitative Comparative Analysis based on a broad array of criteria, including the candidate’s professional experience, litigation experience, significant case results, representative high stakes matters, peer reputation, and community impact in order to rank the candidates throughout the state.  </w:t>
      </w:r>
    </w:p>
    <w:p w:rsidR="00000000" w:rsidDel="00000000" w:rsidP="00000000" w:rsidRDefault="00000000" w:rsidRPr="00000000" w14:paraId="00000011">
      <w:pPr>
        <w:jc w:val="both"/>
        <w:rPr/>
      </w:pPr>
      <w:r w:rsidDel="00000000" w:rsidR="00000000" w:rsidRPr="00000000">
        <w:rPr>
          <w:rtl w:val="0"/>
        </w:rPr>
        <w:t xml:space="preserve">Only the top 100 qualifying attorneys in each state will receive this honor and be selected for membership among America’s Top 100 High Stakes Litigators</w:t>
      </w:r>
      <w:r w:rsidDel="00000000" w:rsidR="00000000" w:rsidRPr="00000000">
        <w:rPr>
          <w:vertAlign w:val="superscript"/>
          <w:rtl w:val="0"/>
        </w:rPr>
        <w:t xml:space="preserve">®</w:t>
      </w:r>
      <w:r w:rsidDel="00000000" w:rsidR="00000000" w:rsidRPr="00000000">
        <w:rPr>
          <w:rtl w:val="0"/>
        </w:rPr>
        <w:t xml:space="preserve">.  With these extremely high standards for selection to America’s Top 100 High Stakes Litigators®, </w:t>
      </w:r>
      <w:r w:rsidDel="00000000" w:rsidR="00000000" w:rsidRPr="00000000">
        <w:rPr>
          <w:b w:val="1"/>
          <w:rtl w:val="0"/>
        </w:rPr>
        <w:t xml:space="preserve">less than one-half percent (0.5%) of active attorneys in the United States will receive this honor</w:t>
      </w:r>
      <w:r w:rsidDel="00000000" w:rsidR="00000000" w:rsidRPr="00000000">
        <w:rPr>
          <w:rtl w:val="0"/>
        </w:rPr>
        <w:t xml:space="preserve"> — truly the most exclusive and elite level of attorneys in the community.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200" w:line="276" w:lineRule="auto"/>
        <w:ind w:left="864" w:right="864" w:hanging="864"/>
        <w:jc w:val="left"/>
        <w:rPr>
          <w:rFonts w:ascii="Calibri" w:cs="Calibri" w:eastAsia="Calibri" w:hAnsi="Calibri"/>
          <w:b w:val="0"/>
          <w:i w:val="1"/>
          <w:smallCaps w:val="0"/>
          <w:strike w:val="0"/>
          <w:color w:val="5a5a5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pPr>
      <w:bookmarkStart w:colFirst="0" w:colLast="0" w:name="_gjdgxs" w:id="0"/>
      <w:bookmarkEnd w:id="0"/>
      <w:r w:rsidDel="00000000" w:rsidR="00000000" w:rsidRPr="00000000">
        <w:rPr>
          <w:rtl w:val="0"/>
        </w:rPr>
        <w:t xml:space="preserve"># # #</w:t>
      </w:r>
    </w:p>
    <w:sectPr>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right"/>
    </w:pPr>
    <w:rPr>
      <w:color w:val="4a66ac"/>
      <w:sz w:val="28"/>
      <w:szCs w:val="28"/>
    </w:rPr>
  </w:style>
  <w:style w:type="paragraph" w:styleId="Heading2">
    <w:name w:val="heading 2"/>
    <w:basedOn w:val="Normal"/>
    <w:next w:val="Normal"/>
    <w:pPr>
      <w:spacing w:after="0" w:before="2" w:line="240" w:lineRule="auto"/>
      <w:ind w:right="115"/>
      <w:jc w:val="right"/>
    </w:pPr>
    <w:rPr>
      <w:rFonts w:ascii="Calibri" w:cs="Calibri" w:eastAsia="Calibri" w:hAnsi="Calibri"/>
      <w:i w:val="1"/>
      <w:color w:val="4a66ac"/>
    </w:rPr>
  </w:style>
  <w:style w:type="paragraph" w:styleId="Heading3">
    <w:name w:val="heading 3"/>
    <w:basedOn w:val="Normal"/>
    <w:next w:val="Normal"/>
    <w:pPr>
      <w:keepNext w:val="1"/>
      <w:keepLines w:val="1"/>
      <w:spacing w:after="0" w:line="240" w:lineRule="auto"/>
      <w:jc w:val="right"/>
    </w:pPr>
    <w:rPr>
      <w:rFonts w:ascii="Calibri" w:cs="Calibri" w:eastAsia="Calibri" w:hAnsi="Calibri"/>
      <w:color w:val="4a66ac"/>
      <w:sz w:val="28"/>
      <w:szCs w:val="28"/>
    </w:rPr>
  </w:style>
  <w:style w:type="paragraph" w:styleId="Heading4">
    <w:name w:val="heading 4"/>
    <w:basedOn w:val="Normal"/>
    <w:next w:val="Normal"/>
    <w:pPr>
      <w:spacing w:after="0" w:line="240" w:lineRule="auto"/>
      <w:ind w:right="115"/>
      <w:jc w:val="right"/>
    </w:pPr>
    <w:rPr>
      <w:b w:val="1"/>
      <w:i w:val="1"/>
      <w:color w:val="4a66ac"/>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600" w:lineRule="auto"/>
      <w:jc w:val="center"/>
    </w:pPr>
    <w:rPr>
      <w:rFonts w:ascii="Calibri" w:cs="Calibri" w:eastAsia="Calibri" w:hAnsi="Calibri"/>
      <w:smallCaps w:val="1"/>
      <w:color w:val="4a66ac"/>
      <w:sz w:val="32"/>
      <w:szCs w:val="32"/>
    </w:rPr>
  </w:style>
  <w:style w:type="paragraph" w:styleId="Subtitle">
    <w:name w:val="Subtitle"/>
    <w:basedOn w:val="Normal"/>
    <w:next w:val="Normal"/>
    <w:pPr>
      <w:spacing w:after="480" w:before="160" w:lineRule="auto"/>
      <w:jc w:val="center"/>
    </w:pPr>
    <w:rPr>
      <w:rFonts w:ascii="Calibri" w:cs="Calibri" w:eastAsia="Calibri" w:hAnsi="Calibri"/>
      <w:color w:val="4a66ac"/>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